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48E7DE" w14:textId="602BC059" w:rsidR="009555E5" w:rsidRDefault="008E18C9">
      <w:pPr>
        <w:jc w:val="center"/>
        <w:rPr>
          <w:rFonts w:ascii="Comic Sans MS" w:eastAsia="Times New Roman" w:hAnsi="Comic Sans MS" w:cs="Comic Sans MS"/>
          <w:b/>
          <w:bCs/>
          <w:kern w:val="1"/>
          <w:sz w:val="32"/>
          <w:szCs w:val="32"/>
        </w:rPr>
      </w:pPr>
      <w:r>
        <w:rPr>
          <w:noProof/>
        </w:rPr>
        <w:drawing>
          <wp:anchor distT="0" distB="0" distL="114935" distR="114935" simplePos="0" relativeHeight="251657728" behindDoc="1" locked="0" layoutInCell="1" allowOverlap="1" wp14:anchorId="69372AD3" wp14:editId="742C3CF7">
            <wp:simplePos x="0" y="0"/>
            <wp:positionH relativeFrom="column">
              <wp:posOffset>-571500</wp:posOffset>
            </wp:positionH>
            <wp:positionV relativeFrom="paragraph">
              <wp:posOffset>-495300</wp:posOffset>
            </wp:positionV>
            <wp:extent cx="2132965" cy="1170940"/>
            <wp:effectExtent l="0" t="0" r="0" b="0"/>
            <wp:wrapTight wrapText="bothSides">
              <wp:wrapPolygon edited="0">
                <wp:start x="0" y="0"/>
                <wp:lineTo x="0" y="21085"/>
                <wp:lineTo x="21414" y="21085"/>
                <wp:lineTo x="214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2965" cy="117094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9555E5">
        <w:rPr>
          <w:rFonts w:ascii="Comic Sans MS" w:eastAsia="Times New Roman" w:hAnsi="Comic Sans MS" w:cs="Comic Sans MS"/>
          <w:b/>
          <w:bCs/>
          <w:kern w:val="1"/>
          <w:sz w:val="32"/>
          <w:szCs w:val="32"/>
        </w:rPr>
        <w:t>Churches Together in Melton Mowbray</w:t>
      </w:r>
    </w:p>
    <w:p w14:paraId="5DF40C2F" w14:textId="77777777" w:rsidR="009555E5" w:rsidRDefault="009555E5">
      <w:pPr>
        <w:widowControl w:val="0"/>
        <w:suppressAutoHyphens w:val="0"/>
        <w:overflowPunct w:val="0"/>
        <w:autoSpaceDE w:val="0"/>
        <w:spacing w:after="0" w:line="240" w:lineRule="auto"/>
        <w:jc w:val="center"/>
        <w:rPr>
          <w:rFonts w:ascii="Comic Sans MS" w:eastAsia="Times New Roman" w:hAnsi="Comic Sans MS" w:cs="Comic Sans MS"/>
          <w:b/>
          <w:bCs/>
          <w:kern w:val="1"/>
          <w:sz w:val="32"/>
          <w:szCs w:val="32"/>
        </w:rPr>
      </w:pPr>
      <w:r>
        <w:rPr>
          <w:rFonts w:ascii="Comic Sans MS" w:eastAsia="Times New Roman" w:hAnsi="Comic Sans MS" w:cs="Comic Sans MS"/>
          <w:b/>
          <w:bCs/>
          <w:kern w:val="1"/>
          <w:sz w:val="32"/>
          <w:szCs w:val="32"/>
        </w:rPr>
        <w:t>Child Contact Centre</w:t>
      </w:r>
    </w:p>
    <w:p w14:paraId="76844D6C" w14:textId="77777777" w:rsidR="009555E5" w:rsidRDefault="009555E5">
      <w:pPr>
        <w:widowControl w:val="0"/>
        <w:suppressAutoHyphens w:val="0"/>
        <w:overflowPunct w:val="0"/>
        <w:autoSpaceDE w:val="0"/>
        <w:spacing w:after="0" w:line="240" w:lineRule="auto"/>
        <w:jc w:val="center"/>
        <w:rPr>
          <w:rFonts w:ascii="Comic Sans MS" w:eastAsia="Times New Roman" w:hAnsi="Comic Sans MS" w:cs="Comic Sans MS"/>
          <w:b/>
          <w:bCs/>
          <w:kern w:val="1"/>
          <w:sz w:val="32"/>
          <w:szCs w:val="32"/>
        </w:rPr>
      </w:pPr>
    </w:p>
    <w:p w14:paraId="4C9B2D15" w14:textId="73515337" w:rsidR="009555E5" w:rsidRDefault="009555E5">
      <w:pPr>
        <w:jc w:val="center"/>
        <w:rPr>
          <w:rFonts w:ascii="Arial" w:eastAsia="Times New Roman" w:hAnsi="Arial" w:cs="Arial"/>
          <w:color w:val="000000"/>
          <w:sz w:val="24"/>
          <w:szCs w:val="24"/>
        </w:rPr>
      </w:pPr>
      <w:r>
        <w:rPr>
          <w:rFonts w:ascii="Arial" w:hAnsi="Arial" w:cs="Arial"/>
          <w:b/>
          <w:color w:val="365F91"/>
          <w:sz w:val="28"/>
          <w:szCs w:val="28"/>
        </w:rPr>
        <w:t>Subject Access R</w:t>
      </w:r>
      <w:r w:rsidR="003D6B78">
        <w:rPr>
          <w:rFonts w:ascii="Arial" w:hAnsi="Arial" w:cs="Arial"/>
          <w:b/>
          <w:color w:val="365F91"/>
          <w:sz w:val="28"/>
          <w:szCs w:val="28"/>
        </w:rPr>
        <w:t xml:space="preserve">ight </w:t>
      </w:r>
      <w:r>
        <w:rPr>
          <w:rFonts w:ascii="Arial" w:hAnsi="Arial" w:cs="Arial"/>
          <w:b/>
          <w:color w:val="365F91"/>
          <w:sz w:val="28"/>
          <w:szCs w:val="28"/>
        </w:rPr>
        <w:t xml:space="preserve">Policy </w:t>
      </w:r>
    </w:p>
    <w:p w14:paraId="781D5A6A" w14:textId="77777777"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Under the General Data Protection Regulations (GDPR), individuals have the right to access their personal data.  This is commonly referred to as a subject access request.  It </w:t>
      </w:r>
      <w:r>
        <w:rPr>
          <w:rFonts w:ascii="Arial" w:hAnsi="Arial" w:cs="Arial"/>
          <w:color w:val="000000"/>
          <w:sz w:val="24"/>
          <w:szCs w:val="24"/>
          <w:shd w:val="clear" w:color="auto" w:fill="FFFFFF"/>
        </w:rPr>
        <w:t>gives individuals the right to obtain a copy of their personal data as well as other supplementary information. It helps individuals to understand how and why we are using their data, and check we are doing it lawfully.</w:t>
      </w:r>
    </w:p>
    <w:p w14:paraId="192281E8" w14:textId="77777777"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An individual is entitled to: -</w:t>
      </w:r>
    </w:p>
    <w:p w14:paraId="5BDE5C40" w14:textId="56012262" w:rsidR="009555E5" w:rsidRDefault="003D6B78">
      <w:pPr>
        <w:numPr>
          <w:ilvl w:val="0"/>
          <w:numId w:val="4"/>
        </w:numPr>
        <w:shd w:val="clear" w:color="auto" w:fill="FFFFFF"/>
        <w:spacing w:before="280" w:after="0" w:line="240" w:lineRule="auto"/>
        <w:ind w:left="567" w:hanging="567"/>
        <w:rPr>
          <w:rFonts w:ascii="Arial" w:eastAsia="Times New Roman" w:hAnsi="Arial" w:cs="Arial"/>
          <w:color w:val="000000"/>
          <w:sz w:val="24"/>
          <w:szCs w:val="24"/>
        </w:rPr>
      </w:pPr>
      <w:r>
        <w:rPr>
          <w:rFonts w:ascii="Arial" w:eastAsia="Times New Roman" w:hAnsi="Arial" w:cs="Arial"/>
          <w:color w:val="000000"/>
          <w:sz w:val="24"/>
          <w:szCs w:val="24"/>
        </w:rPr>
        <w:t>C</w:t>
      </w:r>
      <w:r w:rsidR="009555E5">
        <w:rPr>
          <w:rFonts w:ascii="Arial" w:eastAsia="Times New Roman" w:hAnsi="Arial" w:cs="Arial"/>
          <w:color w:val="000000"/>
          <w:sz w:val="24"/>
          <w:szCs w:val="24"/>
        </w:rPr>
        <w:t>onfirmation that we are processing their personal data</w:t>
      </w:r>
    </w:p>
    <w:p w14:paraId="7C85DB36" w14:textId="0490F594" w:rsidR="009555E5" w:rsidRDefault="003D6B78">
      <w:pPr>
        <w:numPr>
          <w:ilvl w:val="0"/>
          <w:numId w:val="4"/>
        </w:numPr>
        <w:shd w:val="clear" w:color="auto" w:fill="FFFFFF"/>
        <w:spacing w:before="120" w:after="0" w:line="240" w:lineRule="auto"/>
        <w:ind w:left="567" w:hanging="567"/>
        <w:rPr>
          <w:rFonts w:ascii="Arial" w:eastAsia="Times New Roman" w:hAnsi="Arial" w:cs="Arial"/>
          <w:color w:val="000000"/>
          <w:sz w:val="24"/>
          <w:szCs w:val="24"/>
        </w:rPr>
      </w:pPr>
      <w:r>
        <w:rPr>
          <w:rFonts w:ascii="Arial" w:eastAsia="Times New Roman" w:hAnsi="Arial" w:cs="Arial"/>
          <w:color w:val="000000"/>
          <w:sz w:val="24"/>
          <w:szCs w:val="24"/>
        </w:rPr>
        <w:t>A</w:t>
      </w:r>
      <w:r w:rsidR="009555E5">
        <w:rPr>
          <w:rFonts w:ascii="Arial" w:eastAsia="Times New Roman" w:hAnsi="Arial" w:cs="Arial"/>
          <w:color w:val="000000"/>
          <w:sz w:val="24"/>
          <w:szCs w:val="24"/>
        </w:rPr>
        <w:t xml:space="preserve"> copy of their personal data</w:t>
      </w:r>
    </w:p>
    <w:p w14:paraId="3637B043" w14:textId="7B9CC20D" w:rsidR="009555E5" w:rsidRDefault="003D6B78">
      <w:pPr>
        <w:numPr>
          <w:ilvl w:val="0"/>
          <w:numId w:val="4"/>
        </w:numPr>
        <w:shd w:val="clear" w:color="auto" w:fill="FFFFFF"/>
        <w:spacing w:before="360" w:after="280" w:line="240" w:lineRule="auto"/>
        <w:ind w:left="567" w:hanging="567"/>
        <w:rPr>
          <w:rFonts w:ascii="Arial" w:hAnsi="Arial" w:cs="Arial"/>
          <w:bCs/>
          <w:color w:val="000000"/>
          <w:sz w:val="24"/>
          <w:szCs w:val="24"/>
        </w:rPr>
      </w:pPr>
      <w:r>
        <w:rPr>
          <w:rFonts w:ascii="Arial" w:eastAsia="Times New Roman" w:hAnsi="Arial" w:cs="Arial"/>
          <w:color w:val="000000"/>
          <w:sz w:val="24"/>
          <w:szCs w:val="24"/>
        </w:rPr>
        <w:t>O</w:t>
      </w:r>
      <w:r w:rsidR="009555E5">
        <w:rPr>
          <w:rFonts w:ascii="Arial" w:eastAsia="Times New Roman" w:hAnsi="Arial" w:cs="Arial"/>
          <w:color w:val="000000"/>
          <w:sz w:val="24"/>
          <w:szCs w:val="24"/>
        </w:rPr>
        <w:t xml:space="preserve">ther supplementary information – this largely corresponds to the information   that we provide in our privacy notice. </w:t>
      </w:r>
    </w:p>
    <w:p w14:paraId="1171C7BE" w14:textId="77777777" w:rsidR="009555E5" w:rsidRDefault="009555E5">
      <w:pPr>
        <w:shd w:val="clear" w:color="auto" w:fill="FFFFFF"/>
        <w:spacing w:before="360" w:after="280" w:line="240" w:lineRule="auto"/>
        <w:rPr>
          <w:rFonts w:ascii="Arial" w:hAnsi="Arial" w:cs="Arial"/>
          <w:color w:val="000000"/>
        </w:rPr>
      </w:pPr>
      <w:r>
        <w:rPr>
          <w:rFonts w:ascii="Arial" w:hAnsi="Arial" w:cs="Arial"/>
          <w:bCs/>
          <w:color w:val="000000"/>
          <w:sz w:val="24"/>
          <w:szCs w:val="24"/>
        </w:rPr>
        <w:t>Personal data of the individual</w:t>
      </w:r>
    </w:p>
    <w:p w14:paraId="55088FDA" w14:textId="77777777" w:rsidR="009555E5" w:rsidRDefault="009555E5">
      <w:pPr>
        <w:pStyle w:val="NormalWeb"/>
        <w:shd w:val="clear" w:color="auto" w:fill="FFFFFF"/>
        <w:spacing w:after="240"/>
        <w:rPr>
          <w:rFonts w:ascii="Arial" w:eastAsia="Times New Roman" w:hAnsi="Arial" w:cs="Arial"/>
          <w:color w:val="000000"/>
          <w:u w:val="single"/>
        </w:rPr>
      </w:pPr>
      <w:r>
        <w:rPr>
          <w:rFonts w:ascii="Arial" w:hAnsi="Arial" w:cs="Arial"/>
          <w:color w:val="000000"/>
        </w:rPr>
        <w:t xml:space="preserve">An individual is only entitled to their own personal data, and not to information relating to other people (unless the information is also about them or they are acting on behalf of someone). Therefore, it is important for us to establish whether the information requested falls within the definition of personal data. </w:t>
      </w:r>
    </w:p>
    <w:p w14:paraId="44837124"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How to make a request</w:t>
      </w:r>
    </w:p>
    <w:p w14:paraId="01984ED8" w14:textId="77777777" w:rsidR="009555E5" w:rsidRDefault="009555E5">
      <w:pPr>
        <w:shd w:val="clear" w:color="auto" w:fill="FFFFFF"/>
        <w:spacing w:before="120" w:after="280" w:line="240" w:lineRule="auto"/>
        <w:rPr>
          <w:rFonts w:ascii="Arial" w:hAnsi="Arial" w:cs="Arial"/>
          <w:sz w:val="24"/>
          <w:szCs w:val="24"/>
        </w:rPr>
      </w:pPr>
      <w:r>
        <w:rPr>
          <w:rFonts w:ascii="Arial" w:eastAsia="Times New Roman" w:hAnsi="Arial" w:cs="Arial"/>
          <w:color w:val="000000"/>
          <w:sz w:val="24"/>
          <w:szCs w:val="24"/>
        </w:rPr>
        <w:t>An individual can request access to their personal data by either writing to:</w:t>
      </w:r>
    </w:p>
    <w:p w14:paraId="4B156300" w14:textId="77777777" w:rsidR="009555E5" w:rsidRDefault="009555E5">
      <w:pPr>
        <w:pStyle w:val="NoSpacing"/>
        <w:rPr>
          <w:rFonts w:ascii="Arial" w:hAnsi="Arial" w:cs="Arial"/>
          <w:sz w:val="24"/>
          <w:szCs w:val="24"/>
        </w:rPr>
      </w:pPr>
      <w:r>
        <w:rPr>
          <w:rFonts w:ascii="Arial" w:hAnsi="Arial" w:cs="Arial"/>
          <w:sz w:val="24"/>
          <w:szCs w:val="24"/>
        </w:rPr>
        <w:t>The Coordinator.</w:t>
      </w:r>
    </w:p>
    <w:p w14:paraId="0E83C920" w14:textId="77777777" w:rsidR="009555E5" w:rsidRDefault="009555E5">
      <w:pPr>
        <w:pStyle w:val="NoSpacing"/>
        <w:rPr>
          <w:rFonts w:ascii="Arial" w:hAnsi="Arial" w:cs="Arial"/>
          <w:sz w:val="24"/>
          <w:szCs w:val="24"/>
        </w:rPr>
      </w:pPr>
      <w:r>
        <w:rPr>
          <w:rFonts w:ascii="Arial" w:hAnsi="Arial" w:cs="Arial"/>
          <w:sz w:val="24"/>
          <w:szCs w:val="24"/>
        </w:rPr>
        <w:t>Melton Mowbray Child Contact Centre</w:t>
      </w:r>
    </w:p>
    <w:p w14:paraId="70C7928F" w14:textId="4859479F" w:rsidR="009555E5" w:rsidRDefault="009555E5">
      <w:pPr>
        <w:pStyle w:val="NoSpacing"/>
        <w:rPr>
          <w:rFonts w:ascii="Arial" w:hAnsi="Arial" w:cs="Arial"/>
          <w:sz w:val="24"/>
          <w:szCs w:val="24"/>
        </w:rPr>
      </w:pPr>
      <w:r>
        <w:rPr>
          <w:rFonts w:ascii="Arial" w:hAnsi="Arial" w:cs="Arial"/>
          <w:sz w:val="24"/>
          <w:szCs w:val="24"/>
        </w:rPr>
        <w:t xml:space="preserve">c/o </w:t>
      </w:r>
      <w:r w:rsidR="003D6B78">
        <w:rPr>
          <w:rFonts w:ascii="Arial" w:hAnsi="Arial" w:cs="Arial"/>
          <w:sz w:val="24"/>
          <w:szCs w:val="24"/>
        </w:rPr>
        <w:t>Hope Centre</w:t>
      </w:r>
      <w:r>
        <w:rPr>
          <w:rFonts w:ascii="Arial" w:hAnsi="Arial" w:cs="Arial"/>
          <w:sz w:val="24"/>
          <w:szCs w:val="24"/>
        </w:rPr>
        <w:t>,</w:t>
      </w:r>
    </w:p>
    <w:p w14:paraId="334E7229" w14:textId="53CA9455" w:rsidR="009555E5" w:rsidRDefault="003D6B78">
      <w:pPr>
        <w:pStyle w:val="NoSpacing"/>
        <w:rPr>
          <w:rFonts w:ascii="Arial" w:hAnsi="Arial" w:cs="Arial"/>
          <w:sz w:val="24"/>
          <w:szCs w:val="24"/>
        </w:rPr>
      </w:pPr>
      <w:r>
        <w:rPr>
          <w:rFonts w:ascii="Arial" w:hAnsi="Arial" w:cs="Arial"/>
          <w:sz w:val="24"/>
          <w:szCs w:val="24"/>
        </w:rPr>
        <w:t>42-44</w:t>
      </w:r>
      <w:r w:rsidR="009555E5">
        <w:rPr>
          <w:rFonts w:ascii="Arial" w:hAnsi="Arial" w:cs="Arial"/>
          <w:sz w:val="24"/>
          <w:szCs w:val="24"/>
        </w:rPr>
        <w:t xml:space="preserve"> </w:t>
      </w:r>
      <w:r>
        <w:rPr>
          <w:rFonts w:ascii="Arial" w:hAnsi="Arial" w:cs="Arial"/>
          <w:sz w:val="24"/>
          <w:szCs w:val="24"/>
        </w:rPr>
        <w:t>Nottingham</w:t>
      </w:r>
      <w:r w:rsidR="009555E5">
        <w:rPr>
          <w:rFonts w:ascii="Arial" w:hAnsi="Arial" w:cs="Arial"/>
          <w:sz w:val="24"/>
          <w:szCs w:val="24"/>
        </w:rPr>
        <w:t xml:space="preserve"> Street</w:t>
      </w:r>
    </w:p>
    <w:p w14:paraId="637E4C42" w14:textId="77777777" w:rsidR="009555E5" w:rsidRDefault="009555E5">
      <w:pPr>
        <w:pStyle w:val="NoSpacing"/>
        <w:rPr>
          <w:rFonts w:ascii="Arial" w:hAnsi="Arial" w:cs="Arial"/>
          <w:sz w:val="24"/>
          <w:szCs w:val="24"/>
        </w:rPr>
      </w:pPr>
      <w:r>
        <w:rPr>
          <w:rFonts w:ascii="Arial" w:hAnsi="Arial" w:cs="Arial"/>
          <w:sz w:val="24"/>
          <w:szCs w:val="24"/>
        </w:rPr>
        <w:t>Melton Mowbray</w:t>
      </w:r>
    </w:p>
    <w:p w14:paraId="7F40771C" w14:textId="55346CEB" w:rsidR="009555E5" w:rsidRDefault="009555E5">
      <w:pPr>
        <w:pStyle w:val="NoSpacing"/>
        <w:rPr>
          <w:rFonts w:ascii="Arial" w:hAnsi="Arial" w:cs="Arial"/>
          <w:sz w:val="24"/>
          <w:szCs w:val="24"/>
        </w:rPr>
      </w:pPr>
      <w:r>
        <w:rPr>
          <w:rFonts w:ascii="Arial" w:hAnsi="Arial" w:cs="Arial"/>
          <w:sz w:val="24"/>
          <w:szCs w:val="24"/>
        </w:rPr>
        <w:t>Leics</w:t>
      </w:r>
    </w:p>
    <w:p w14:paraId="67266607" w14:textId="588F54C4" w:rsidR="009555E5" w:rsidRDefault="009555E5">
      <w:pPr>
        <w:pStyle w:val="NoSpacing"/>
        <w:rPr>
          <w:rFonts w:ascii="Arial" w:hAnsi="Arial" w:cs="Arial"/>
          <w:sz w:val="24"/>
          <w:szCs w:val="24"/>
        </w:rPr>
      </w:pPr>
      <w:r>
        <w:rPr>
          <w:rFonts w:ascii="Arial" w:hAnsi="Arial" w:cs="Arial"/>
          <w:sz w:val="24"/>
          <w:szCs w:val="24"/>
        </w:rPr>
        <w:t>LE13 1</w:t>
      </w:r>
      <w:r w:rsidR="003D6B78">
        <w:rPr>
          <w:rFonts w:ascii="Arial" w:hAnsi="Arial" w:cs="Arial"/>
          <w:sz w:val="24"/>
          <w:szCs w:val="24"/>
        </w:rPr>
        <w:t>NW</w:t>
      </w:r>
    </w:p>
    <w:p w14:paraId="47251A4C" w14:textId="77777777" w:rsidR="009555E5" w:rsidRDefault="009555E5">
      <w:pPr>
        <w:pStyle w:val="NoSpacing"/>
        <w:rPr>
          <w:rFonts w:ascii="Arial" w:hAnsi="Arial" w:cs="Arial"/>
          <w:sz w:val="24"/>
          <w:szCs w:val="24"/>
        </w:rPr>
      </w:pPr>
    </w:p>
    <w:p w14:paraId="756EA3D5" w14:textId="77777777" w:rsidR="009555E5" w:rsidRDefault="009555E5">
      <w:pPr>
        <w:pStyle w:val="NoSpacing"/>
        <w:rPr>
          <w:rFonts w:ascii="Arial" w:eastAsia="Times New Roman" w:hAnsi="Arial" w:cs="Arial"/>
          <w:color w:val="000000"/>
          <w:sz w:val="24"/>
          <w:szCs w:val="24"/>
        </w:rPr>
      </w:pPr>
      <w:r>
        <w:rPr>
          <w:rFonts w:ascii="Arial" w:hAnsi="Arial" w:cs="Arial"/>
          <w:sz w:val="24"/>
          <w:szCs w:val="24"/>
        </w:rPr>
        <w:t>Or calling – 07522 297102</w:t>
      </w:r>
    </w:p>
    <w:p w14:paraId="3090147F" w14:textId="77777777" w:rsidR="009555E5" w:rsidRDefault="009555E5">
      <w:pPr>
        <w:shd w:val="clear" w:color="auto" w:fill="FFFFFF"/>
        <w:spacing w:before="120" w:after="280" w:line="240" w:lineRule="auto"/>
        <w:rPr>
          <w:rFonts w:ascii="Arial" w:eastAsia="Times New Roman" w:hAnsi="Arial" w:cs="Arial"/>
          <w:color w:val="000000"/>
          <w:sz w:val="24"/>
          <w:szCs w:val="24"/>
          <w:u w:val="single"/>
        </w:rPr>
      </w:pPr>
      <w:r>
        <w:rPr>
          <w:rFonts w:ascii="Arial" w:eastAsia="Times New Roman" w:hAnsi="Arial" w:cs="Arial"/>
          <w:color w:val="000000"/>
          <w:sz w:val="24"/>
          <w:szCs w:val="24"/>
        </w:rPr>
        <w:t>Or emailing – meltonmowbraychildcontactcentre@yahoo.co.uk</w:t>
      </w:r>
    </w:p>
    <w:p w14:paraId="226F1831"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Time to Respond</w:t>
      </w:r>
    </w:p>
    <w:p w14:paraId="1AFFD14A" w14:textId="77777777" w:rsidR="009555E5" w:rsidRDefault="009555E5">
      <w:pPr>
        <w:shd w:val="clear" w:color="auto" w:fill="FFFFFF"/>
        <w:spacing w:before="120" w:after="280" w:line="240" w:lineRule="auto"/>
        <w:rPr>
          <w:rFonts w:ascii="Arial" w:eastAsia="Times New Roman" w:hAnsi="Arial" w:cs="Arial"/>
          <w:color w:val="000000"/>
          <w:sz w:val="24"/>
          <w:szCs w:val="24"/>
          <w:u w:val="single"/>
        </w:rPr>
      </w:pPr>
      <w:r>
        <w:rPr>
          <w:rFonts w:ascii="Arial" w:eastAsia="Times New Roman" w:hAnsi="Arial" w:cs="Arial"/>
          <w:color w:val="000000"/>
          <w:sz w:val="24"/>
          <w:szCs w:val="24"/>
        </w:rPr>
        <w:t>Requests will be responded to within one month from the day after receipt of the request.  E.g. If the request is made on 3 September we will respond by 4 October.</w:t>
      </w:r>
    </w:p>
    <w:p w14:paraId="630CD447"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lastRenderedPageBreak/>
        <w:t>Fees</w:t>
      </w:r>
    </w:p>
    <w:p w14:paraId="7E38A42C" w14:textId="77777777" w:rsidR="009555E5" w:rsidRDefault="009555E5">
      <w:pPr>
        <w:shd w:val="clear" w:color="auto" w:fill="FFFFFF"/>
        <w:spacing w:before="120" w:after="280" w:line="240" w:lineRule="auto"/>
        <w:rPr>
          <w:rFonts w:ascii="Arial" w:eastAsia="Times New Roman" w:hAnsi="Arial" w:cs="Arial"/>
          <w:color w:val="000000"/>
          <w:sz w:val="24"/>
          <w:szCs w:val="24"/>
          <w:u w:val="single"/>
        </w:rPr>
      </w:pPr>
      <w:r>
        <w:rPr>
          <w:rFonts w:ascii="Arial" w:eastAsia="Times New Roman" w:hAnsi="Arial" w:cs="Arial"/>
          <w:color w:val="000000"/>
          <w:sz w:val="24"/>
          <w:szCs w:val="24"/>
        </w:rPr>
        <w:t xml:space="preserve">There is no charge unless the request is </w:t>
      </w:r>
      <w:r>
        <w:rPr>
          <w:rFonts w:ascii="Arial" w:hAnsi="Arial" w:cs="Arial"/>
          <w:color w:val="000000"/>
          <w:sz w:val="24"/>
          <w:szCs w:val="24"/>
          <w:shd w:val="clear" w:color="auto" w:fill="FFFFFF"/>
        </w:rPr>
        <w:t>manifestly unfounded or excessive we may charge a “reasonable fee” for the administrative costs of complying with the request.</w:t>
      </w:r>
    </w:p>
    <w:p w14:paraId="5DFF19E7"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Identity</w:t>
      </w:r>
    </w:p>
    <w:p w14:paraId="1E919EBE" w14:textId="77777777" w:rsidR="009555E5" w:rsidRDefault="009555E5">
      <w:pPr>
        <w:shd w:val="clear" w:color="auto" w:fill="FFFFFF"/>
        <w:spacing w:before="120" w:after="280" w:line="240" w:lineRule="auto"/>
        <w:rPr>
          <w:rFonts w:ascii="Arial" w:eastAsia="Times New Roman" w:hAnsi="Arial" w:cs="Arial"/>
          <w:color w:val="000000"/>
          <w:sz w:val="24"/>
          <w:szCs w:val="24"/>
          <w:u w:val="single"/>
        </w:rPr>
      </w:pPr>
      <w:r>
        <w:rPr>
          <w:rFonts w:ascii="Arial" w:eastAsia="Times New Roman" w:hAnsi="Arial" w:cs="Arial"/>
          <w:color w:val="000000"/>
          <w:sz w:val="24"/>
          <w:szCs w:val="24"/>
        </w:rPr>
        <w:t>If we have any doubts about the identity of the person making the request, we may ask for further information to confirm the identity.</w:t>
      </w:r>
    </w:p>
    <w:p w14:paraId="5383A11C" w14:textId="77777777" w:rsidR="009555E5" w:rsidRDefault="009555E5">
      <w:pPr>
        <w:shd w:val="clear" w:color="auto" w:fill="FFFFFF"/>
        <w:spacing w:before="120" w:after="280" w:line="240" w:lineRule="auto"/>
        <w:rPr>
          <w:rFonts w:ascii="Arial" w:hAnsi="Arial" w:cs="Arial"/>
          <w:color w:val="000000"/>
          <w:sz w:val="23"/>
          <w:szCs w:val="23"/>
          <w:shd w:val="clear" w:color="auto" w:fill="FFFFFF"/>
        </w:rPr>
      </w:pPr>
      <w:r>
        <w:rPr>
          <w:rFonts w:ascii="Arial" w:eastAsia="Times New Roman" w:hAnsi="Arial" w:cs="Arial"/>
          <w:color w:val="000000"/>
          <w:sz w:val="24"/>
          <w:szCs w:val="24"/>
          <w:u w:val="single"/>
        </w:rPr>
        <w:t>Requests made on behalf of others</w:t>
      </w:r>
    </w:p>
    <w:p w14:paraId="7BC890F3"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hAnsi="Arial" w:cs="Arial"/>
          <w:color w:val="000000"/>
          <w:sz w:val="23"/>
          <w:szCs w:val="23"/>
          <w:shd w:val="clear" w:color="auto" w:fill="FFFFFF"/>
        </w:rPr>
        <w:t>The GDPR does not prevent an individual making a subject access request via a third party. Often, this will be a solicitor acting on behalf of a client, but it could simply be that an individual feels comfortable allowing someone else to act for them. In these cases, we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w:t>
      </w:r>
    </w:p>
    <w:p w14:paraId="586DBC0D" w14:textId="77777777" w:rsidR="009555E5" w:rsidRDefault="009555E5">
      <w:pPr>
        <w:shd w:val="clear" w:color="auto" w:fill="FFFFFF"/>
        <w:spacing w:before="120" w:after="280" w:line="240" w:lineRule="auto"/>
        <w:rPr>
          <w:rFonts w:ascii="Arial" w:eastAsia="Times New Roman" w:hAnsi="Arial" w:cs="Arial"/>
          <w:color w:val="000000"/>
          <w:sz w:val="24"/>
          <w:szCs w:val="24"/>
        </w:rPr>
      </w:pPr>
      <w:r>
        <w:rPr>
          <w:rFonts w:ascii="Arial" w:eastAsia="Times New Roman" w:hAnsi="Arial" w:cs="Arial"/>
          <w:color w:val="000000"/>
          <w:sz w:val="24"/>
          <w:szCs w:val="24"/>
        </w:rPr>
        <w:t>Requests for information about children?</w:t>
      </w:r>
    </w:p>
    <w:p w14:paraId="04D42FA5" w14:textId="77777777"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Even if a child is too young to understand the implications of subject access rights, it is still the right of the child rather than of anyone else such as a parent or guardian. So it is the child who has a right of access to the information held about them, even though in the case of young children these rights are likely to be exercised by those with parental responsibility for them.</w:t>
      </w:r>
    </w:p>
    <w:p w14:paraId="5B347627" w14:textId="0DB3DA31"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Before responding to a subject access request for information held about a child, we will consider whether the child is mature enough to understand their rights. If we are confident that the child can understand their rights, then we will respond directly to the child. We may, however, allow the parent to exercise the child’s rights on their behalf if the child authorises this, or if it is evident that this is in the best interests of the child.</w:t>
      </w:r>
    </w:p>
    <w:p w14:paraId="06A58C44" w14:textId="77777777"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What matters is that the child is able to understand (in broad terms) what it means to make a subject access request and how to interpret the information they receive as a result of doing so. When considering borderline cases, we will take into account, among other things:</w:t>
      </w:r>
    </w:p>
    <w:p w14:paraId="1802B4DE" w14:textId="47C64E5C" w:rsidR="009555E5" w:rsidRDefault="009555E5">
      <w:pPr>
        <w:numPr>
          <w:ilvl w:val="0"/>
          <w:numId w:val="2"/>
        </w:numPr>
        <w:shd w:val="clear" w:color="auto" w:fill="FFFFFF"/>
        <w:spacing w:before="28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the child’s level of maturity and their ability to make decisions like this</w:t>
      </w:r>
    </w:p>
    <w:p w14:paraId="3AE169E9" w14:textId="1DB900FB" w:rsidR="009555E5" w:rsidRDefault="009555E5">
      <w:pPr>
        <w:numPr>
          <w:ilvl w:val="0"/>
          <w:numId w:val="2"/>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the nature of the personal data</w:t>
      </w:r>
    </w:p>
    <w:p w14:paraId="74A8F17F" w14:textId="5D6763B1" w:rsidR="009555E5" w:rsidRDefault="009555E5">
      <w:pPr>
        <w:numPr>
          <w:ilvl w:val="0"/>
          <w:numId w:val="2"/>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any court orders relating to parental access or responsibility that may apply</w:t>
      </w:r>
    </w:p>
    <w:p w14:paraId="10459DE2" w14:textId="62685437" w:rsidR="009555E5" w:rsidRDefault="009555E5">
      <w:pPr>
        <w:numPr>
          <w:ilvl w:val="0"/>
          <w:numId w:val="2"/>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any duty of confidence owed to the child or young person</w:t>
      </w:r>
    </w:p>
    <w:p w14:paraId="59C6AD9C" w14:textId="46921FB3" w:rsidR="009555E5" w:rsidRDefault="009555E5">
      <w:pPr>
        <w:numPr>
          <w:ilvl w:val="0"/>
          <w:numId w:val="2"/>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any consequences of allowing those with parental responsibility access to the child’s or young person’s information. This is particularly important if there have been allegations of abuse or ill treatment</w:t>
      </w:r>
    </w:p>
    <w:p w14:paraId="35FF1097" w14:textId="4856D765" w:rsidR="009555E5" w:rsidRDefault="009555E5">
      <w:pPr>
        <w:numPr>
          <w:ilvl w:val="0"/>
          <w:numId w:val="2"/>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lastRenderedPageBreak/>
        <w:t>any detriment to the child or young person if individuals with parental responsibility cannot access this information</w:t>
      </w:r>
    </w:p>
    <w:p w14:paraId="152C3F4F" w14:textId="77777777" w:rsidR="009555E5" w:rsidRDefault="009555E5">
      <w:pPr>
        <w:numPr>
          <w:ilvl w:val="0"/>
          <w:numId w:val="2"/>
        </w:numPr>
        <w:shd w:val="clear" w:color="auto" w:fill="FFFFFF"/>
        <w:spacing w:before="120" w:after="280" w:line="240" w:lineRule="auto"/>
        <w:ind w:left="426"/>
        <w:rPr>
          <w:rFonts w:ascii="Arial" w:eastAsia="Times New Roman" w:hAnsi="Arial" w:cs="Arial"/>
          <w:color w:val="000000"/>
          <w:sz w:val="24"/>
          <w:szCs w:val="24"/>
          <w:u w:val="single"/>
        </w:rPr>
      </w:pPr>
      <w:r>
        <w:rPr>
          <w:rFonts w:ascii="Arial" w:eastAsia="Times New Roman" w:hAnsi="Arial" w:cs="Arial"/>
          <w:color w:val="000000"/>
          <w:sz w:val="24"/>
          <w:szCs w:val="24"/>
        </w:rPr>
        <w:t>any views the child or young person has on whether their parents should have access to information about them.</w:t>
      </w:r>
    </w:p>
    <w:p w14:paraId="5D8573FE" w14:textId="77777777" w:rsidR="009555E5" w:rsidRDefault="009555E5">
      <w:pPr>
        <w:shd w:val="clear" w:color="auto" w:fill="FFFFFF"/>
        <w:spacing w:before="360" w:after="240" w:line="240" w:lineRule="auto"/>
        <w:rPr>
          <w:rFonts w:ascii="Arial" w:eastAsia="Times New Roman" w:hAnsi="Arial" w:cs="Arial"/>
          <w:color w:val="000000"/>
          <w:sz w:val="24"/>
          <w:szCs w:val="24"/>
          <w:u w:val="single"/>
        </w:rPr>
      </w:pPr>
    </w:p>
    <w:p w14:paraId="63BFBD40" w14:textId="77777777" w:rsidR="009555E5" w:rsidRDefault="009555E5">
      <w:pPr>
        <w:shd w:val="clear" w:color="auto" w:fill="FFFFFF"/>
        <w:spacing w:before="360" w:after="24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Data that may contain information about other people?</w:t>
      </w:r>
    </w:p>
    <w:p w14:paraId="4DCC2241" w14:textId="77777777"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Responding to a subject access request may involve providing information that relates both to the individual making the request and to another individual.</w:t>
      </w:r>
    </w:p>
    <w:p w14:paraId="2B4B07EF" w14:textId="4B4C45C5" w:rsidR="009555E5" w:rsidRDefault="009555E5">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Data Protection </w:t>
      </w:r>
      <w:r w:rsidR="003D6B78">
        <w:rPr>
          <w:rFonts w:ascii="Arial" w:eastAsia="Times New Roman" w:hAnsi="Arial" w:cs="Arial"/>
          <w:color w:val="000000"/>
          <w:sz w:val="24"/>
          <w:szCs w:val="24"/>
        </w:rPr>
        <w:t>Act</w:t>
      </w:r>
      <w:r>
        <w:rPr>
          <w:rFonts w:ascii="Arial" w:eastAsia="Times New Roman" w:hAnsi="Arial" w:cs="Arial"/>
          <w:color w:val="000000"/>
          <w:sz w:val="24"/>
          <w:szCs w:val="24"/>
        </w:rPr>
        <w:t xml:space="preserve"> says that we do not have to comply with the request if it would mean disclosing information about another individual who can be identified from that information, except if:</w:t>
      </w:r>
    </w:p>
    <w:p w14:paraId="787C1A03" w14:textId="0D042237" w:rsidR="009555E5" w:rsidRDefault="003D6B78">
      <w:pPr>
        <w:numPr>
          <w:ilvl w:val="0"/>
          <w:numId w:val="3"/>
        </w:numPr>
        <w:shd w:val="clear" w:color="auto" w:fill="FFFFFF"/>
        <w:spacing w:before="28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T</w:t>
      </w:r>
      <w:r w:rsidR="009555E5">
        <w:rPr>
          <w:rFonts w:ascii="Arial" w:eastAsia="Times New Roman" w:hAnsi="Arial" w:cs="Arial"/>
          <w:color w:val="000000"/>
          <w:sz w:val="24"/>
          <w:szCs w:val="24"/>
        </w:rPr>
        <w:t>he other individual has consented to the disclosure</w:t>
      </w:r>
    </w:p>
    <w:p w14:paraId="4BFEDC27" w14:textId="307F7D30" w:rsidR="009555E5" w:rsidRDefault="003D6B78">
      <w:pPr>
        <w:numPr>
          <w:ilvl w:val="0"/>
          <w:numId w:val="3"/>
        </w:numPr>
        <w:shd w:val="clear" w:color="auto" w:fill="FFFFFF"/>
        <w:spacing w:before="120" w:after="28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I</w:t>
      </w:r>
      <w:r w:rsidR="009555E5">
        <w:rPr>
          <w:rFonts w:ascii="Arial" w:eastAsia="Times New Roman" w:hAnsi="Arial" w:cs="Arial"/>
          <w:color w:val="000000"/>
          <w:sz w:val="24"/>
          <w:szCs w:val="24"/>
        </w:rPr>
        <w:t>t is reasonable to comply with the request without that individual’s consent.</w:t>
      </w:r>
    </w:p>
    <w:p w14:paraId="0B508FC6" w14:textId="77777777" w:rsidR="009555E5" w:rsidRDefault="009555E5">
      <w:pPr>
        <w:shd w:val="clear" w:color="auto" w:fill="FFFFFF"/>
        <w:spacing w:after="24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In determining whether it is reasonable to disclose the information, we will take into account all of the relevant circumstances, including:</w:t>
      </w:r>
    </w:p>
    <w:p w14:paraId="2CA85CF9" w14:textId="5D4B51AB" w:rsidR="009555E5" w:rsidRDefault="003D6B78">
      <w:pPr>
        <w:numPr>
          <w:ilvl w:val="0"/>
          <w:numId w:val="1"/>
        </w:numPr>
        <w:shd w:val="clear" w:color="auto" w:fill="FFFFFF"/>
        <w:spacing w:before="28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T</w:t>
      </w:r>
      <w:r w:rsidR="009555E5">
        <w:rPr>
          <w:rFonts w:ascii="Arial" w:eastAsia="Times New Roman" w:hAnsi="Arial" w:cs="Arial"/>
          <w:color w:val="000000"/>
          <w:sz w:val="24"/>
          <w:szCs w:val="24"/>
        </w:rPr>
        <w:t>he type of information that we would disclose</w:t>
      </w:r>
    </w:p>
    <w:p w14:paraId="52037F38" w14:textId="67AB5B9F" w:rsidR="009555E5" w:rsidRDefault="003D6B78">
      <w:pPr>
        <w:numPr>
          <w:ilvl w:val="0"/>
          <w:numId w:val="1"/>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w:t>
      </w:r>
      <w:r w:rsidR="009555E5">
        <w:rPr>
          <w:rFonts w:ascii="Arial" w:eastAsia="Times New Roman" w:hAnsi="Arial" w:cs="Arial"/>
          <w:color w:val="000000"/>
          <w:sz w:val="24"/>
          <w:szCs w:val="24"/>
        </w:rPr>
        <w:t>ny duty of confidentiality we owe to the other individual</w:t>
      </w:r>
    </w:p>
    <w:p w14:paraId="6B345B1C" w14:textId="2B92C499" w:rsidR="009555E5" w:rsidRDefault="003D6B78">
      <w:pPr>
        <w:numPr>
          <w:ilvl w:val="0"/>
          <w:numId w:val="1"/>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w:t>
      </w:r>
      <w:r w:rsidR="009555E5">
        <w:rPr>
          <w:rFonts w:ascii="Arial" w:eastAsia="Times New Roman" w:hAnsi="Arial" w:cs="Arial"/>
          <w:color w:val="000000"/>
          <w:sz w:val="24"/>
          <w:szCs w:val="24"/>
        </w:rPr>
        <w:t>ny steps we have taken to seek consent from the other individual</w:t>
      </w:r>
    </w:p>
    <w:p w14:paraId="52984438" w14:textId="29CD6F99" w:rsidR="009555E5" w:rsidRDefault="003D6B78">
      <w:pPr>
        <w:numPr>
          <w:ilvl w:val="0"/>
          <w:numId w:val="1"/>
        </w:numPr>
        <w:shd w:val="clear" w:color="auto" w:fill="FFFFFF"/>
        <w:spacing w:before="120" w:after="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W</w:t>
      </w:r>
      <w:r w:rsidR="009555E5">
        <w:rPr>
          <w:rFonts w:ascii="Arial" w:eastAsia="Times New Roman" w:hAnsi="Arial" w:cs="Arial"/>
          <w:color w:val="000000"/>
          <w:sz w:val="24"/>
          <w:szCs w:val="24"/>
        </w:rPr>
        <w:t>hether the other individual can give consent</w:t>
      </w:r>
    </w:p>
    <w:p w14:paraId="367E0CB5" w14:textId="106A8683" w:rsidR="009555E5" w:rsidRDefault="003D6B78">
      <w:pPr>
        <w:numPr>
          <w:ilvl w:val="0"/>
          <w:numId w:val="1"/>
        </w:numPr>
        <w:shd w:val="clear" w:color="auto" w:fill="FFFFFF"/>
        <w:spacing w:before="120" w:after="280" w:line="240" w:lineRule="auto"/>
        <w:ind w:left="426"/>
        <w:rPr>
          <w:rFonts w:ascii="Arial" w:eastAsia="Times New Roman" w:hAnsi="Arial" w:cs="Arial"/>
          <w:color w:val="000000"/>
          <w:sz w:val="24"/>
          <w:szCs w:val="24"/>
        </w:rPr>
      </w:pPr>
      <w:r>
        <w:rPr>
          <w:rFonts w:ascii="Arial" w:eastAsia="Times New Roman" w:hAnsi="Arial" w:cs="Arial"/>
          <w:color w:val="000000"/>
          <w:sz w:val="24"/>
          <w:szCs w:val="24"/>
        </w:rPr>
        <w:t>A</w:t>
      </w:r>
      <w:r w:rsidR="009555E5">
        <w:rPr>
          <w:rFonts w:ascii="Arial" w:eastAsia="Times New Roman" w:hAnsi="Arial" w:cs="Arial"/>
          <w:color w:val="000000"/>
          <w:sz w:val="24"/>
          <w:szCs w:val="24"/>
        </w:rPr>
        <w:t>ny express refusal of consent by the other individual.</w:t>
      </w:r>
    </w:p>
    <w:p w14:paraId="1CBA58F8" w14:textId="77777777" w:rsidR="009555E5" w:rsidRDefault="009555E5">
      <w:pPr>
        <w:shd w:val="clear" w:color="auto" w:fill="FFFFFF"/>
        <w:spacing w:before="120" w:after="280" w:line="240" w:lineRule="auto"/>
        <w:rPr>
          <w:rFonts w:ascii="Arial" w:eastAsia="Times New Roman" w:hAnsi="Arial" w:cs="Arial"/>
          <w:color w:val="000000"/>
          <w:sz w:val="24"/>
          <w:szCs w:val="24"/>
        </w:rPr>
      </w:pPr>
    </w:p>
    <w:p w14:paraId="33F3D412" w14:textId="18B1EBB0" w:rsidR="009555E5" w:rsidRDefault="009555E5">
      <w:pPr>
        <w:shd w:val="clear" w:color="auto" w:fill="FFFFFF"/>
        <w:spacing w:before="120" w:after="280" w:line="240" w:lineRule="auto"/>
      </w:pPr>
      <w:r>
        <w:rPr>
          <w:rFonts w:ascii="Arial" w:eastAsia="Times New Roman" w:hAnsi="Arial" w:cs="Arial"/>
          <w:color w:val="000000"/>
          <w:sz w:val="24"/>
          <w:szCs w:val="24"/>
        </w:rPr>
        <w:t xml:space="preserve">Reviewed </w:t>
      </w:r>
      <w:r w:rsidR="003D6B78">
        <w:rPr>
          <w:rFonts w:ascii="Arial" w:eastAsia="Times New Roman" w:hAnsi="Arial" w:cs="Arial"/>
          <w:color w:val="000000"/>
          <w:sz w:val="24"/>
          <w:szCs w:val="24"/>
        </w:rPr>
        <w:t>August</w:t>
      </w:r>
      <w:r>
        <w:rPr>
          <w:rFonts w:ascii="Arial" w:eastAsia="Times New Roman" w:hAnsi="Arial" w:cs="Arial"/>
          <w:color w:val="000000"/>
          <w:sz w:val="24"/>
          <w:szCs w:val="24"/>
        </w:rPr>
        <w:t xml:space="preserve"> 202</w:t>
      </w:r>
      <w:r w:rsidR="003D6B78">
        <w:rPr>
          <w:rFonts w:ascii="Arial" w:eastAsia="Times New Roman" w:hAnsi="Arial" w:cs="Arial"/>
          <w:color w:val="000000"/>
          <w:sz w:val="24"/>
          <w:szCs w:val="24"/>
        </w:rPr>
        <w:t>4</w:t>
      </w:r>
    </w:p>
    <w:p w14:paraId="2C1B964D" w14:textId="77777777" w:rsidR="009555E5" w:rsidRDefault="009555E5"/>
    <w:p w14:paraId="3961C0B2" w14:textId="77777777" w:rsidR="009555E5" w:rsidRDefault="009555E5"/>
    <w:p w14:paraId="762A3365" w14:textId="77777777" w:rsidR="009555E5" w:rsidRDefault="009555E5"/>
    <w:p w14:paraId="4C029583" w14:textId="77777777" w:rsidR="009555E5" w:rsidRDefault="009555E5"/>
    <w:p w14:paraId="1A2EAB1E" w14:textId="77777777" w:rsidR="009555E5" w:rsidRDefault="009555E5"/>
    <w:p w14:paraId="0B67604A" w14:textId="77777777" w:rsidR="009555E5" w:rsidRDefault="009555E5"/>
    <w:p w14:paraId="17E5A7D0" w14:textId="77777777" w:rsidR="009555E5" w:rsidRDefault="009555E5"/>
    <w:p w14:paraId="6063A17D" w14:textId="77777777" w:rsidR="009555E5" w:rsidRDefault="009555E5"/>
    <w:sectPr w:rsidR="009555E5">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
      <w:lvlJc w:val="left"/>
      <w:pPr>
        <w:tabs>
          <w:tab w:val="num" w:pos="1440"/>
        </w:tabs>
        <w:ind w:left="1440" w:hanging="360"/>
      </w:pPr>
      <w:rPr>
        <w:rFonts w:ascii="Symbol" w:hAnsi="Symbol" w:cs="Symbol" w:hint="default"/>
        <w:color w:val="000000"/>
        <w:sz w:val="20"/>
        <w:szCs w:val="24"/>
      </w:rPr>
    </w:lvl>
    <w:lvl w:ilvl="2">
      <w:start w:val="1"/>
      <w:numFmt w:val="bullet"/>
      <w:lvlText w:val=""/>
      <w:lvlJc w:val="left"/>
      <w:pPr>
        <w:tabs>
          <w:tab w:val="num" w:pos="2160"/>
        </w:tabs>
        <w:ind w:left="2160" w:hanging="360"/>
      </w:pPr>
      <w:rPr>
        <w:rFonts w:ascii="Symbol" w:hAnsi="Symbol" w:cs="Symbol" w:hint="default"/>
        <w:color w:val="000000"/>
        <w:sz w:val="20"/>
        <w:szCs w:val="24"/>
      </w:rPr>
    </w:lvl>
    <w:lvl w:ilvl="3">
      <w:start w:val="1"/>
      <w:numFmt w:val="bullet"/>
      <w:lvlText w:val=""/>
      <w:lvlJc w:val="left"/>
      <w:pPr>
        <w:tabs>
          <w:tab w:val="num" w:pos="2880"/>
        </w:tabs>
        <w:ind w:left="2880" w:hanging="360"/>
      </w:pPr>
      <w:rPr>
        <w:rFonts w:ascii="Symbol" w:hAnsi="Symbol" w:cs="Symbol" w:hint="default"/>
        <w:color w:val="000000"/>
        <w:sz w:val="20"/>
        <w:szCs w:val="24"/>
      </w:rPr>
    </w:lvl>
    <w:lvl w:ilvl="4">
      <w:start w:val="1"/>
      <w:numFmt w:val="bullet"/>
      <w:lvlText w:val=""/>
      <w:lvlJc w:val="left"/>
      <w:pPr>
        <w:tabs>
          <w:tab w:val="num" w:pos="3600"/>
        </w:tabs>
        <w:ind w:left="3600" w:hanging="360"/>
      </w:pPr>
      <w:rPr>
        <w:rFonts w:ascii="Symbol" w:hAnsi="Symbol" w:cs="Symbol" w:hint="default"/>
        <w:color w:val="000000"/>
        <w:sz w:val="20"/>
        <w:szCs w:val="24"/>
      </w:rPr>
    </w:lvl>
    <w:lvl w:ilvl="5">
      <w:start w:val="1"/>
      <w:numFmt w:val="bullet"/>
      <w:lvlText w:val=""/>
      <w:lvlJc w:val="left"/>
      <w:pPr>
        <w:tabs>
          <w:tab w:val="num" w:pos="4320"/>
        </w:tabs>
        <w:ind w:left="4320" w:hanging="360"/>
      </w:pPr>
      <w:rPr>
        <w:rFonts w:ascii="Symbol" w:hAnsi="Symbol" w:cs="Symbol" w:hint="default"/>
        <w:color w:val="000000"/>
        <w:sz w:val="20"/>
        <w:szCs w:val="24"/>
      </w:rPr>
    </w:lvl>
    <w:lvl w:ilvl="6">
      <w:start w:val="1"/>
      <w:numFmt w:val="bullet"/>
      <w:lvlText w:val=""/>
      <w:lvlJc w:val="left"/>
      <w:pPr>
        <w:tabs>
          <w:tab w:val="num" w:pos="5040"/>
        </w:tabs>
        <w:ind w:left="5040" w:hanging="360"/>
      </w:pPr>
      <w:rPr>
        <w:rFonts w:ascii="Symbol" w:hAnsi="Symbol" w:cs="Symbol" w:hint="default"/>
        <w:color w:val="000000"/>
        <w:sz w:val="20"/>
        <w:szCs w:val="24"/>
      </w:rPr>
    </w:lvl>
    <w:lvl w:ilvl="7">
      <w:start w:val="1"/>
      <w:numFmt w:val="bullet"/>
      <w:lvlText w:val=""/>
      <w:lvlJc w:val="left"/>
      <w:pPr>
        <w:tabs>
          <w:tab w:val="num" w:pos="5760"/>
        </w:tabs>
        <w:ind w:left="5760" w:hanging="360"/>
      </w:pPr>
      <w:rPr>
        <w:rFonts w:ascii="Symbol" w:hAnsi="Symbol" w:cs="Symbol" w:hint="default"/>
        <w:color w:val="000000"/>
        <w:sz w:val="20"/>
        <w:szCs w:val="24"/>
      </w:rPr>
    </w:lvl>
    <w:lvl w:ilvl="8">
      <w:start w:val="1"/>
      <w:numFmt w:val="bullet"/>
      <w:lvlText w:val=""/>
      <w:lvlJc w:val="left"/>
      <w:pPr>
        <w:tabs>
          <w:tab w:val="num" w:pos="6480"/>
        </w:tabs>
        <w:ind w:left="6480" w:hanging="360"/>
      </w:pPr>
      <w:rPr>
        <w:rFonts w:ascii="Symbol" w:hAnsi="Symbol" w:cs="Symbol" w:hint="default"/>
        <w:color w:val="000000"/>
        <w:sz w:val="20"/>
        <w:szCs w:val="24"/>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
      <w:lvlJc w:val="left"/>
      <w:pPr>
        <w:tabs>
          <w:tab w:val="num" w:pos="1440"/>
        </w:tabs>
        <w:ind w:left="1440" w:hanging="360"/>
      </w:pPr>
      <w:rPr>
        <w:rFonts w:ascii="Symbol" w:hAnsi="Symbol" w:cs="Symbol" w:hint="default"/>
        <w:color w:val="000000"/>
        <w:sz w:val="20"/>
        <w:szCs w:val="24"/>
      </w:rPr>
    </w:lvl>
    <w:lvl w:ilvl="2">
      <w:start w:val="1"/>
      <w:numFmt w:val="bullet"/>
      <w:lvlText w:val=""/>
      <w:lvlJc w:val="left"/>
      <w:pPr>
        <w:tabs>
          <w:tab w:val="num" w:pos="2160"/>
        </w:tabs>
        <w:ind w:left="2160" w:hanging="360"/>
      </w:pPr>
      <w:rPr>
        <w:rFonts w:ascii="Symbol" w:hAnsi="Symbol" w:cs="Symbol" w:hint="default"/>
        <w:color w:val="000000"/>
        <w:sz w:val="20"/>
        <w:szCs w:val="24"/>
      </w:rPr>
    </w:lvl>
    <w:lvl w:ilvl="3">
      <w:start w:val="1"/>
      <w:numFmt w:val="bullet"/>
      <w:lvlText w:val=""/>
      <w:lvlJc w:val="left"/>
      <w:pPr>
        <w:tabs>
          <w:tab w:val="num" w:pos="2880"/>
        </w:tabs>
        <w:ind w:left="2880" w:hanging="360"/>
      </w:pPr>
      <w:rPr>
        <w:rFonts w:ascii="Symbol" w:hAnsi="Symbol" w:cs="Symbol" w:hint="default"/>
        <w:color w:val="000000"/>
        <w:sz w:val="20"/>
        <w:szCs w:val="24"/>
      </w:rPr>
    </w:lvl>
    <w:lvl w:ilvl="4">
      <w:start w:val="1"/>
      <w:numFmt w:val="bullet"/>
      <w:lvlText w:val=""/>
      <w:lvlJc w:val="left"/>
      <w:pPr>
        <w:tabs>
          <w:tab w:val="num" w:pos="3600"/>
        </w:tabs>
        <w:ind w:left="3600" w:hanging="360"/>
      </w:pPr>
      <w:rPr>
        <w:rFonts w:ascii="Symbol" w:hAnsi="Symbol" w:cs="Symbol" w:hint="default"/>
        <w:color w:val="000000"/>
        <w:sz w:val="20"/>
        <w:szCs w:val="24"/>
      </w:rPr>
    </w:lvl>
    <w:lvl w:ilvl="5">
      <w:start w:val="1"/>
      <w:numFmt w:val="bullet"/>
      <w:lvlText w:val=""/>
      <w:lvlJc w:val="left"/>
      <w:pPr>
        <w:tabs>
          <w:tab w:val="num" w:pos="4320"/>
        </w:tabs>
        <w:ind w:left="4320" w:hanging="360"/>
      </w:pPr>
      <w:rPr>
        <w:rFonts w:ascii="Symbol" w:hAnsi="Symbol" w:cs="Symbol" w:hint="default"/>
        <w:color w:val="000000"/>
        <w:sz w:val="20"/>
        <w:szCs w:val="24"/>
      </w:rPr>
    </w:lvl>
    <w:lvl w:ilvl="6">
      <w:start w:val="1"/>
      <w:numFmt w:val="bullet"/>
      <w:lvlText w:val=""/>
      <w:lvlJc w:val="left"/>
      <w:pPr>
        <w:tabs>
          <w:tab w:val="num" w:pos="5040"/>
        </w:tabs>
        <w:ind w:left="5040" w:hanging="360"/>
      </w:pPr>
      <w:rPr>
        <w:rFonts w:ascii="Symbol" w:hAnsi="Symbol" w:cs="Symbol" w:hint="default"/>
        <w:color w:val="000000"/>
        <w:sz w:val="20"/>
        <w:szCs w:val="24"/>
      </w:rPr>
    </w:lvl>
    <w:lvl w:ilvl="7">
      <w:start w:val="1"/>
      <w:numFmt w:val="bullet"/>
      <w:lvlText w:val=""/>
      <w:lvlJc w:val="left"/>
      <w:pPr>
        <w:tabs>
          <w:tab w:val="num" w:pos="5760"/>
        </w:tabs>
        <w:ind w:left="5760" w:hanging="360"/>
      </w:pPr>
      <w:rPr>
        <w:rFonts w:ascii="Symbol" w:hAnsi="Symbol" w:cs="Symbol" w:hint="default"/>
        <w:color w:val="000000"/>
        <w:sz w:val="20"/>
        <w:szCs w:val="24"/>
      </w:rPr>
    </w:lvl>
    <w:lvl w:ilvl="8">
      <w:start w:val="1"/>
      <w:numFmt w:val="bullet"/>
      <w:lvlText w:val=""/>
      <w:lvlJc w:val="left"/>
      <w:pPr>
        <w:tabs>
          <w:tab w:val="num" w:pos="6480"/>
        </w:tabs>
        <w:ind w:left="6480" w:hanging="360"/>
      </w:pPr>
      <w:rPr>
        <w:rFonts w:ascii="Symbol" w:hAnsi="Symbol" w:cs="Symbol" w:hint="default"/>
        <w:color w:val="000000"/>
        <w:sz w:val="20"/>
        <w:szCs w:val="24"/>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27695838">
    <w:abstractNumId w:val="0"/>
  </w:num>
  <w:num w:numId="2" w16cid:durableId="23092072">
    <w:abstractNumId w:val="1"/>
  </w:num>
  <w:num w:numId="3" w16cid:durableId="1997295789">
    <w:abstractNumId w:val="2"/>
  </w:num>
  <w:num w:numId="4" w16cid:durableId="1129590220">
    <w:abstractNumId w:val="3"/>
  </w:num>
  <w:num w:numId="5" w16cid:durableId="63225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C2"/>
    <w:rsid w:val="003D6B78"/>
    <w:rsid w:val="008E18C9"/>
    <w:rsid w:val="009555E5"/>
    <w:rsid w:val="00B215C2"/>
    <w:rsid w:val="00EF4715"/>
    <w:rsid w:val="00F3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F09595C"/>
  <w15:chartTrackingRefBased/>
  <w15:docId w15:val="{91208A67-CD61-4C0A-8A60-CF94DDEE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hint="default"/>
      <w:color w:val="000000"/>
      <w:sz w:val="20"/>
      <w:szCs w:val="24"/>
    </w:rPr>
  </w:style>
  <w:style w:type="character" w:customStyle="1" w:styleId="WW8Num2z0">
    <w:name w:val="WW8Num2z0"/>
    <w:rPr>
      <w:rFonts w:ascii="Symbol" w:hAnsi="Symbol" w:cs="Symbol" w:hint="default"/>
      <w:sz w:val="20"/>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color w:val="000000"/>
      <w:sz w:val="20"/>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rPr>
      <w:rFonts w:ascii="Times New Roman" w:hAnsi="Times New Roman" w:cs="Times New Roman"/>
      <w:sz w:val="24"/>
      <w:szCs w:val="24"/>
    </w:rPr>
  </w:style>
  <w:style w:type="paragraph" w:styleId="NoSpacing">
    <w:name w:val="No Spacing"/>
    <w:qFormat/>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Peck</dc:creator>
  <cp:keywords/>
  <cp:lastModifiedBy>Jayne Croxford</cp:lastModifiedBy>
  <cp:revision>2</cp:revision>
  <cp:lastPrinted>1900-01-01T00:00:00Z</cp:lastPrinted>
  <dcterms:created xsi:type="dcterms:W3CDTF">2024-08-15T20:23:00Z</dcterms:created>
  <dcterms:modified xsi:type="dcterms:W3CDTF">2024-08-15T20:23:00Z</dcterms:modified>
</cp:coreProperties>
</file>